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F8220" w14:textId="77777777" w:rsidR="007E4653" w:rsidRDefault="007E4653" w:rsidP="007E4653">
      <w:pPr>
        <w:autoSpaceDE w:val="0"/>
        <w:autoSpaceDN w:val="0"/>
        <w:spacing w:after="0" w:line="240" w:lineRule="auto"/>
        <w:jc w:val="center"/>
        <w:rPr>
          <w:b/>
          <w:bCs/>
          <w:color w:val="FF0000"/>
          <w:sz w:val="44"/>
          <w:szCs w:val="44"/>
        </w:rPr>
      </w:pPr>
      <w:r>
        <w:rPr>
          <w:b/>
          <w:bCs/>
          <w:color w:val="FF0000"/>
          <w:sz w:val="44"/>
          <w:szCs w:val="44"/>
        </w:rPr>
        <w:t>Biogeochemical Constraints on Methanogenesis in a Subsurface, Recalcitrant Carbon Environment</w:t>
      </w:r>
    </w:p>
    <w:p w14:paraId="060A8008" w14:textId="77777777" w:rsidR="006B62B4" w:rsidRPr="006B62B4" w:rsidRDefault="006B62B4" w:rsidP="006B62B4">
      <w:pPr>
        <w:autoSpaceDE w:val="0"/>
        <w:autoSpaceDN w:val="0"/>
        <w:spacing w:after="0" w:line="240" w:lineRule="auto"/>
        <w:jc w:val="center"/>
        <w:rPr>
          <w:rFonts w:ascii="Calibri" w:eastAsia="Calibri" w:hAnsi="Calibri" w:cs="Calibri"/>
          <w:color w:val="FF0000"/>
          <w:sz w:val="24"/>
          <w:szCs w:val="24"/>
        </w:rPr>
      </w:pPr>
    </w:p>
    <w:p w14:paraId="5D3EE9EF" w14:textId="0599A5E2" w:rsidR="007E4653" w:rsidRDefault="007E4653" w:rsidP="007E4653">
      <w:pPr>
        <w:autoSpaceDE w:val="0"/>
        <w:autoSpaceDN w:val="0"/>
        <w:spacing w:after="0" w:line="240" w:lineRule="auto"/>
        <w:jc w:val="center"/>
        <w:rPr>
          <w:b/>
          <w:bCs/>
          <w:sz w:val="36"/>
          <w:szCs w:val="36"/>
        </w:rPr>
      </w:pPr>
      <w:r>
        <w:rPr>
          <w:b/>
          <w:bCs/>
          <w:sz w:val="36"/>
          <w:szCs w:val="36"/>
        </w:rPr>
        <w:t>Professor Matthew Fields</w:t>
      </w:r>
    </w:p>
    <w:p w14:paraId="51A2F4FC" w14:textId="77777777" w:rsidR="00964EA3" w:rsidRDefault="007E4653" w:rsidP="007E4653">
      <w:pPr>
        <w:autoSpaceDE w:val="0"/>
        <w:autoSpaceDN w:val="0"/>
        <w:spacing w:after="0" w:line="240" w:lineRule="auto"/>
        <w:jc w:val="center"/>
        <w:rPr>
          <w:b/>
          <w:bCs/>
          <w:sz w:val="36"/>
          <w:szCs w:val="36"/>
        </w:rPr>
      </w:pPr>
      <w:r>
        <w:rPr>
          <w:b/>
          <w:bCs/>
          <w:sz w:val="36"/>
          <w:szCs w:val="36"/>
        </w:rPr>
        <w:t>Director, Center for Biofilm Engineering</w:t>
      </w:r>
    </w:p>
    <w:p w14:paraId="51A1658B" w14:textId="72248D2B" w:rsidR="007E4653" w:rsidRDefault="007E4653" w:rsidP="007E4653">
      <w:pPr>
        <w:autoSpaceDE w:val="0"/>
        <w:autoSpaceDN w:val="0"/>
        <w:spacing w:after="0" w:line="240" w:lineRule="auto"/>
        <w:jc w:val="center"/>
        <w:rPr>
          <w:b/>
          <w:bCs/>
          <w:sz w:val="36"/>
          <w:szCs w:val="36"/>
        </w:rPr>
      </w:pPr>
      <w:bookmarkStart w:id="0" w:name="_GoBack"/>
      <w:bookmarkEnd w:id="0"/>
      <w:r>
        <w:rPr>
          <w:b/>
          <w:bCs/>
          <w:sz w:val="36"/>
          <w:szCs w:val="36"/>
        </w:rPr>
        <w:t>Dept of Microbiology &amp; Immunology, Energy Research Institute</w:t>
      </w:r>
    </w:p>
    <w:p w14:paraId="37C158AB" w14:textId="77777777" w:rsidR="007E4653" w:rsidRDefault="007E4653" w:rsidP="007E4653">
      <w:pPr>
        <w:autoSpaceDE w:val="0"/>
        <w:autoSpaceDN w:val="0"/>
        <w:spacing w:after="0" w:line="240" w:lineRule="auto"/>
        <w:jc w:val="center"/>
        <w:rPr>
          <w:b/>
          <w:bCs/>
          <w:color w:val="000000"/>
          <w:sz w:val="36"/>
          <w:szCs w:val="36"/>
        </w:rPr>
      </w:pPr>
      <w:r>
        <w:rPr>
          <w:b/>
          <w:bCs/>
          <w:sz w:val="36"/>
          <w:szCs w:val="36"/>
        </w:rPr>
        <w:t>Montana State University</w:t>
      </w:r>
    </w:p>
    <w:p w14:paraId="58F4B0EA" w14:textId="28A2E0A5" w:rsidR="005B4794" w:rsidRDefault="005B4794" w:rsidP="005B4794">
      <w:pPr>
        <w:autoSpaceDE w:val="0"/>
        <w:autoSpaceDN w:val="0"/>
        <w:spacing w:after="0" w:line="240" w:lineRule="auto"/>
        <w:jc w:val="center"/>
        <w:rPr>
          <w:rFonts w:ascii="Calibri" w:eastAsia="Calibri" w:hAnsi="Calibri" w:cs="Calibri"/>
          <w:b/>
          <w:bCs/>
          <w:color w:val="000000"/>
          <w:sz w:val="36"/>
          <w:szCs w:val="36"/>
        </w:rPr>
      </w:pPr>
    </w:p>
    <w:p w14:paraId="1E54D78E" w14:textId="0296E56C" w:rsidR="007E4653" w:rsidRDefault="006B62B4" w:rsidP="007E4653">
      <w:pPr>
        <w:jc w:val="both"/>
      </w:pPr>
      <w:r w:rsidRPr="006B62B4">
        <w:rPr>
          <w:rFonts w:ascii="Calibri" w:eastAsia="Calibri" w:hAnsi="Calibri" w:cs="Calibri"/>
          <w:b/>
          <w:bCs/>
          <w:u w:val="single"/>
        </w:rPr>
        <w:t>Abstract:</w:t>
      </w:r>
      <w:r w:rsidRPr="006B62B4">
        <w:rPr>
          <w:rFonts w:ascii="Calibri" w:eastAsia="Calibri" w:hAnsi="Calibri" w:cs="Calibri"/>
        </w:rPr>
        <w:t xml:space="preserve"> </w:t>
      </w:r>
      <w:r w:rsidR="007E4653">
        <w:t>Different coal beds within or between basins contain different amounts of biogenic CH</w:t>
      </w:r>
      <w:r w:rsidR="007E4653">
        <w:rPr>
          <w:vertAlign w:val="subscript"/>
        </w:rPr>
        <w:t>4</w:t>
      </w:r>
      <w:r w:rsidR="007E4653">
        <w:t>, and little is known about the relationship between microbial community dynamics, turnover of recalcitrant carbon, aqueous geochemistry and CH</w:t>
      </w:r>
      <w:r w:rsidR="007E4653">
        <w:rPr>
          <w:vertAlign w:val="subscript"/>
        </w:rPr>
        <w:t>4</w:t>
      </w:r>
      <w:r w:rsidR="007E4653">
        <w:t xml:space="preserve"> concentrations. For example, competition between microbial sulfate reduction and methanogenesis drives cycling of fossil carbon and generation of </w:t>
      </w:r>
      <w:r w:rsidR="007E4653">
        <w:rPr>
          <w:color w:val="000000"/>
        </w:rPr>
        <w:t>CH</w:t>
      </w:r>
      <w:r w:rsidR="007E4653">
        <w:rPr>
          <w:color w:val="000000"/>
          <w:vertAlign w:val="subscript"/>
        </w:rPr>
        <w:t>4</w:t>
      </w:r>
      <w:r w:rsidR="007E4653">
        <w:t xml:space="preserve"> in sedimentary basins; however, little is understood about the fundamental relationships between subsurface biogeochemical constraints and the impact on methanogenesis. Results will be presented on laboratory and field work that relate bacterial and archaeal population dynamics to sulfate and organic matter degradation.</w:t>
      </w:r>
    </w:p>
    <w:p w14:paraId="17AC4A01" w14:textId="4C5F7C1B" w:rsidR="005B4794" w:rsidRDefault="007E4653" w:rsidP="007E4653">
      <w:pPr>
        <w:overflowPunct w:val="0"/>
        <w:spacing w:before="100" w:beforeAutospacing="1" w:after="100" w:afterAutospacing="1" w:line="240" w:lineRule="auto"/>
        <w:jc w:val="center"/>
        <w:textAlignment w:val="baseline"/>
        <w:rPr>
          <w:rFonts w:ascii="Calibri" w:eastAsia="Calibri" w:hAnsi="Calibri" w:cs="Calibri"/>
          <w:sz w:val="24"/>
          <w:szCs w:val="24"/>
        </w:rPr>
      </w:pPr>
      <w:r>
        <w:rPr>
          <w:noProof/>
        </w:rPr>
        <w:drawing>
          <wp:inline distT="0" distB="0" distL="0" distR="0" wp14:anchorId="3FF8673F" wp14:editId="490C1055">
            <wp:extent cx="2314575" cy="1543050"/>
            <wp:effectExtent l="0" t="0" r="9525" b="0"/>
            <wp:docPr id="1" name="Picture 1" descr="cid:image001.png@01D46A09.74C7A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6A09.74C7AD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46737" cy="1564491"/>
                    </a:xfrm>
                    <a:prstGeom prst="rect">
                      <a:avLst/>
                    </a:prstGeom>
                    <a:noFill/>
                    <a:ln>
                      <a:noFill/>
                    </a:ln>
                  </pic:spPr>
                </pic:pic>
              </a:graphicData>
            </a:graphic>
          </wp:inline>
        </w:drawing>
      </w:r>
    </w:p>
    <w:p w14:paraId="58C77851" w14:textId="775F963C" w:rsidR="005B4794" w:rsidRDefault="005B4794" w:rsidP="005B4794">
      <w:pPr>
        <w:autoSpaceDE w:val="0"/>
        <w:autoSpaceDN w:val="0"/>
        <w:spacing w:after="0" w:line="240" w:lineRule="auto"/>
        <w:jc w:val="both"/>
        <w:rPr>
          <w:rFonts w:ascii="Calibri" w:eastAsia="Calibri" w:hAnsi="Calibri" w:cs="Calibri"/>
          <w:sz w:val="24"/>
          <w:szCs w:val="24"/>
        </w:rPr>
      </w:pPr>
    </w:p>
    <w:p w14:paraId="72643479" w14:textId="2A17ACC7" w:rsidR="006B62B4" w:rsidRDefault="006B62B4" w:rsidP="007E4653">
      <w:pPr>
        <w:autoSpaceDE w:val="0"/>
        <w:autoSpaceDN w:val="0"/>
        <w:spacing w:after="0" w:line="240" w:lineRule="auto"/>
        <w:jc w:val="both"/>
      </w:pPr>
      <w:r w:rsidRPr="006B62B4">
        <w:rPr>
          <w:rFonts w:eastAsia="Calibri" w:cstheme="minorHAnsi"/>
          <w:b/>
          <w:bCs/>
          <w:u w:val="single"/>
        </w:rPr>
        <w:t>Biography:</w:t>
      </w:r>
      <w:r w:rsidRPr="006B62B4">
        <w:rPr>
          <w:rFonts w:eastAsia="Calibri" w:cstheme="minorHAnsi"/>
        </w:rPr>
        <w:t xml:space="preserve"> </w:t>
      </w:r>
      <w:r w:rsidR="007E4653">
        <w:t xml:space="preserve">Matthew Fields is a professor in the Department of Microbiology &amp; Immunology at Montana State University (MSU) </w:t>
      </w:r>
      <w:proofErr w:type="gramStart"/>
      <w:r w:rsidR="007E4653">
        <w:t>and also</w:t>
      </w:r>
      <w:proofErr w:type="gramEnd"/>
      <w:r w:rsidR="007E4653">
        <w:t xml:space="preserve"> serves as Director for the Center for Biofilm Engineering. He is also an Adjunct Research Fellow at the National Center for Genome Resources in Santa Fe, NM. His laboratory uses molecular ecology, microbial physiology, and genomics to study microbial populations and communities associated with different environments important to groundwater, bioremediation, bioenergy, and health. Ultimately, a driving question is to understand the relationships between structure and function at different scales of biology. An improved understanding of structure/function relationships will allow predictive modeling and design for a variety of natural and engineered systems.</w:t>
      </w:r>
    </w:p>
    <w:p w14:paraId="077D76A2" w14:textId="77777777" w:rsidR="007E4653" w:rsidRPr="006B62B4" w:rsidRDefault="007E4653" w:rsidP="007E4653">
      <w:pPr>
        <w:autoSpaceDE w:val="0"/>
        <w:autoSpaceDN w:val="0"/>
        <w:spacing w:after="0" w:line="240" w:lineRule="auto"/>
        <w:jc w:val="both"/>
        <w:rPr>
          <w:rFonts w:ascii="Calibri" w:eastAsia="Calibri" w:hAnsi="Calibri" w:cs="Calibri"/>
          <w:color w:val="00467A"/>
          <w:sz w:val="24"/>
          <w:szCs w:val="24"/>
        </w:rPr>
      </w:pPr>
    </w:p>
    <w:p w14:paraId="093DF06F" w14:textId="71B4716A" w:rsidR="006B62B4" w:rsidRPr="006B62B4" w:rsidRDefault="006B62B4" w:rsidP="006B62B4">
      <w:pPr>
        <w:shd w:val="clear" w:color="auto" w:fill="FFFFFF"/>
        <w:spacing w:after="0" w:line="240" w:lineRule="auto"/>
        <w:jc w:val="center"/>
        <w:rPr>
          <w:rFonts w:ascii="Calibri" w:eastAsia="Calibri" w:hAnsi="Calibri" w:cs="Calibri"/>
          <w:color w:val="0070C0"/>
          <w:sz w:val="28"/>
          <w:szCs w:val="28"/>
        </w:rPr>
      </w:pPr>
      <w:r w:rsidRPr="006B62B4">
        <w:rPr>
          <w:rFonts w:ascii="Helvetica" w:eastAsia="Calibri" w:hAnsi="Helvetica" w:cs="Helvetica"/>
          <w:b/>
          <w:bCs/>
          <w:color w:val="0070C0"/>
          <w:sz w:val="36"/>
          <w:szCs w:val="36"/>
        </w:rPr>
        <w:t xml:space="preserve">When: Tuesday, October </w:t>
      </w:r>
      <w:r w:rsidR="007E4653">
        <w:rPr>
          <w:rFonts w:ascii="Helvetica" w:eastAsia="Calibri" w:hAnsi="Helvetica" w:cs="Helvetica"/>
          <w:b/>
          <w:bCs/>
          <w:color w:val="0070C0"/>
          <w:sz w:val="36"/>
          <w:szCs w:val="36"/>
        </w:rPr>
        <w:t>23</w:t>
      </w:r>
      <w:r w:rsidRPr="006B62B4">
        <w:rPr>
          <w:rFonts w:ascii="Helvetica" w:eastAsia="Calibri" w:hAnsi="Helvetica" w:cs="Helvetica"/>
          <w:b/>
          <w:bCs/>
          <w:color w:val="0070C0"/>
          <w:sz w:val="36"/>
          <w:szCs w:val="36"/>
        </w:rPr>
        <w:t>, 2018 at 4:00 pm</w:t>
      </w:r>
    </w:p>
    <w:p w14:paraId="0B90CF98" w14:textId="5BE993A4" w:rsidR="005B4794" w:rsidRDefault="006B62B4" w:rsidP="006B62B4">
      <w:pPr>
        <w:shd w:val="clear" w:color="auto" w:fill="FFFFFF"/>
        <w:spacing w:after="0" w:line="240" w:lineRule="auto"/>
        <w:jc w:val="center"/>
        <w:rPr>
          <w:rFonts w:ascii="Calibri" w:eastAsia="Calibri" w:hAnsi="Calibri" w:cs="Calibri"/>
          <w:b/>
          <w:bCs/>
          <w:color w:val="000000"/>
          <w:sz w:val="36"/>
          <w:szCs w:val="36"/>
        </w:rPr>
      </w:pPr>
      <w:r w:rsidRPr="006B62B4">
        <w:rPr>
          <w:rFonts w:ascii="Helvetica" w:eastAsia="Calibri" w:hAnsi="Helvetica" w:cs="Helvetica"/>
          <w:b/>
          <w:bCs/>
          <w:color w:val="0070C0"/>
          <w:sz w:val="36"/>
          <w:szCs w:val="36"/>
        </w:rPr>
        <w:t>Where: EP252</w:t>
      </w:r>
    </w:p>
    <w:sectPr w:rsidR="005B4794" w:rsidSect="005B4794">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94"/>
    <w:rsid w:val="005B4794"/>
    <w:rsid w:val="006B62B4"/>
    <w:rsid w:val="007E4653"/>
    <w:rsid w:val="00964EA3"/>
    <w:rsid w:val="0098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9B80"/>
  <w15:chartTrackingRefBased/>
  <w15:docId w15:val="{A825A9BE-C296-4900-A007-0D80695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21390">
      <w:bodyDiv w:val="1"/>
      <w:marLeft w:val="0"/>
      <w:marRight w:val="0"/>
      <w:marTop w:val="0"/>
      <w:marBottom w:val="0"/>
      <w:divBdr>
        <w:top w:val="none" w:sz="0" w:space="0" w:color="auto"/>
        <w:left w:val="none" w:sz="0" w:space="0" w:color="auto"/>
        <w:bottom w:val="none" w:sz="0" w:space="0" w:color="auto"/>
        <w:right w:val="none" w:sz="0" w:space="0" w:color="auto"/>
      </w:divBdr>
    </w:div>
    <w:div w:id="1014069445">
      <w:bodyDiv w:val="1"/>
      <w:marLeft w:val="0"/>
      <w:marRight w:val="0"/>
      <w:marTop w:val="0"/>
      <w:marBottom w:val="0"/>
      <w:divBdr>
        <w:top w:val="none" w:sz="0" w:space="0" w:color="auto"/>
        <w:left w:val="none" w:sz="0" w:space="0" w:color="auto"/>
        <w:bottom w:val="none" w:sz="0" w:space="0" w:color="auto"/>
        <w:right w:val="none" w:sz="0" w:space="0" w:color="auto"/>
      </w:divBdr>
    </w:div>
    <w:div w:id="1268152573">
      <w:bodyDiv w:val="1"/>
      <w:marLeft w:val="0"/>
      <w:marRight w:val="0"/>
      <w:marTop w:val="0"/>
      <w:marBottom w:val="0"/>
      <w:divBdr>
        <w:top w:val="none" w:sz="0" w:space="0" w:color="auto"/>
        <w:left w:val="none" w:sz="0" w:space="0" w:color="auto"/>
        <w:bottom w:val="none" w:sz="0" w:space="0" w:color="auto"/>
        <w:right w:val="none" w:sz="0" w:space="0" w:color="auto"/>
      </w:divBdr>
    </w:div>
    <w:div w:id="1273437484">
      <w:bodyDiv w:val="1"/>
      <w:marLeft w:val="0"/>
      <w:marRight w:val="0"/>
      <w:marTop w:val="0"/>
      <w:marBottom w:val="0"/>
      <w:divBdr>
        <w:top w:val="none" w:sz="0" w:space="0" w:color="auto"/>
        <w:left w:val="none" w:sz="0" w:space="0" w:color="auto"/>
        <w:bottom w:val="none" w:sz="0" w:space="0" w:color="auto"/>
        <w:right w:val="none" w:sz="0" w:space="0" w:color="auto"/>
      </w:divBdr>
    </w:div>
    <w:div w:id="1284655642">
      <w:bodyDiv w:val="1"/>
      <w:marLeft w:val="0"/>
      <w:marRight w:val="0"/>
      <w:marTop w:val="0"/>
      <w:marBottom w:val="0"/>
      <w:divBdr>
        <w:top w:val="none" w:sz="0" w:space="0" w:color="auto"/>
        <w:left w:val="none" w:sz="0" w:space="0" w:color="auto"/>
        <w:bottom w:val="none" w:sz="0" w:space="0" w:color="auto"/>
        <w:right w:val="none" w:sz="0" w:space="0" w:color="auto"/>
      </w:divBdr>
    </w:div>
    <w:div w:id="1464348848">
      <w:bodyDiv w:val="1"/>
      <w:marLeft w:val="0"/>
      <w:marRight w:val="0"/>
      <w:marTop w:val="0"/>
      <w:marBottom w:val="0"/>
      <w:divBdr>
        <w:top w:val="none" w:sz="0" w:space="0" w:color="auto"/>
        <w:left w:val="none" w:sz="0" w:space="0" w:color="auto"/>
        <w:bottom w:val="none" w:sz="0" w:space="0" w:color="auto"/>
        <w:right w:val="none" w:sz="0" w:space="0" w:color="auto"/>
      </w:divBdr>
    </w:div>
    <w:div w:id="1710841835">
      <w:bodyDiv w:val="1"/>
      <w:marLeft w:val="0"/>
      <w:marRight w:val="0"/>
      <w:marTop w:val="0"/>
      <w:marBottom w:val="0"/>
      <w:divBdr>
        <w:top w:val="none" w:sz="0" w:space="0" w:color="auto"/>
        <w:left w:val="none" w:sz="0" w:space="0" w:color="auto"/>
        <w:bottom w:val="none" w:sz="0" w:space="0" w:color="auto"/>
        <w:right w:val="none" w:sz="0" w:space="0" w:color="auto"/>
      </w:divBdr>
    </w:div>
    <w:div w:id="18631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46A09.74C7AD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Litzen, Lori L.</dc:creator>
  <cp:keywords/>
  <dc:description/>
  <cp:lastModifiedBy>Litzen, Lori L.</cp:lastModifiedBy>
  <cp:revision>3</cp:revision>
  <dcterms:created xsi:type="dcterms:W3CDTF">2018-10-22T19:52:00Z</dcterms:created>
  <dcterms:modified xsi:type="dcterms:W3CDTF">2018-10-22T19:53:00Z</dcterms:modified>
</cp:coreProperties>
</file>